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5CC43" w14:textId="77777777" w:rsidR="005E20E7" w:rsidRDefault="005E20E7" w:rsidP="00F64C6F">
      <w:pPr>
        <w:shd w:val="clear" w:color="auto" w:fill="FFFFFF"/>
        <w:spacing w:after="375" w:line="300" w:lineRule="atLeast"/>
        <w:jc w:val="both"/>
        <w:outlineLvl w:val="1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5E20E7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São Paulo, 25 de fevereiro de 2021</w:t>
      </w:r>
    </w:p>
    <w:p w14:paraId="0999EC67" w14:textId="77777777" w:rsidR="005E20E7" w:rsidRDefault="008C3C15" w:rsidP="00F64C6F">
      <w:pPr>
        <w:shd w:val="clear" w:color="auto" w:fill="FFFFFF"/>
        <w:spacing w:after="375" w:line="300" w:lineRule="atLeast"/>
        <w:jc w:val="both"/>
        <w:outlineLvl w:val="1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FAPESP - </w:t>
      </w:r>
      <w:r w:rsidR="005E20E7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Comunicado aos EAIPs sobre Si</w:t>
      </w:r>
      <w:r w:rsidR="00805A0F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stema de prestação de contas On-</w:t>
      </w:r>
      <w:r w:rsidR="005E20E7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line</w:t>
      </w:r>
    </w:p>
    <w:p w14:paraId="710ED886" w14:textId="77777777" w:rsidR="00E6196A" w:rsidRPr="00E6196A" w:rsidRDefault="00E6196A" w:rsidP="00F64C6F">
      <w:pPr>
        <w:shd w:val="clear" w:color="auto" w:fill="FFFFFF"/>
        <w:spacing w:after="375" w:line="300" w:lineRule="atLeast"/>
        <w:jc w:val="both"/>
        <w:outlineLvl w:val="1"/>
        <w:rPr>
          <w:rFonts w:ascii="Arial" w:eastAsia="Times New Roman" w:hAnsi="Arial" w:cs="Arial"/>
          <w:b/>
          <w:color w:val="212529"/>
          <w:sz w:val="24"/>
          <w:szCs w:val="24"/>
          <w:lang w:eastAsia="pt-BR"/>
        </w:rPr>
      </w:pPr>
      <w:r w:rsidRPr="00E6196A">
        <w:rPr>
          <w:rFonts w:ascii="Arial" w:eastAsia="Times New Roman" w:hAnsi="Arial" w:cs="Arial"/>
          <w:b/>
          <w:color w:val="212529"/>
          <w:sz w:val="24"/>
          <w:szCs w:val="24"/>
          <w:lang w:eastAsia="pt-BR"/>
        </w:rPr>
        <w:t>Obs.</w:t>
      </w:r>
      <w:r>
        <w:rPr>
          <w:rFonts w:ascii="Arial" w:eastAsia="Times New Roman" w:hAnsi="Arial" w:cs="Arial"/>
          <w:b/>
          <w:color w:val="212529"/>
          <w:sz w:val="24"/>
          <w:szCs w:val="24"/>
          <w:lang w:eastAsia="pt-BR"/>
        </w:rPr>
        <w:t xml:space="preserve"> Esta m</w:t>
      </w:r>
      <w:r w:rsidRPr="00E6196A">
        <w:rPr>
          <w:rFonts w:ascii="Arial" w:eastAsia="Times New Roman" w:hAnsi="Arial" w:cs="Arial"/>
          <w:b/>
          <w:color w:val="212529"/>
          <w:sz w:val="24"/>
          <w:szCs w:val="24"/>
          <w:lang w:eastAsia="pt-BR"/>
        </w:rPr>
        <w:t xml:space="preserve">ensagem </w:t>
      </w:r>
      <w:r>
        <w:rPr>
          <w:rFonts w:ascii="Arial" w:eastAsia="Times New Roman" w:hAnsi="Arial" w:cs="Arial"/>
          <w:b/>
          <w:color w:val="212529"/>
          <w:sz w:val="24"/>
          <w:szCs w:val="24"/>
          <w:lang w:eastAsia="pt-BR"/>
        </w:rPr>
        <w:t xml:space="preserve">é </w:t>
      </w:r>
      <w:r w:rsidRPr="00E6196A">
        <w:rPr>
          <w:rFonts w:ascii="Arial" w:eastAsia="Times New Roman" w:hAnsi="Arial" w:cs="Arial"/>
          <w:b/>
          <w:color w:val="212529"/>
          <w:sz w:val="24"/>
          <w:szCs w:val="24"/>
          <w:lang w:eastAsia="pt-BR"/>
        </w:rPr>
        <w:t xml:space="preserve">automática - Dúvidas pelo </w:t>
      </w:r>
      <w:r>
        <w:rPr>
          <w:rFonts w:ascii="Arial" w:eastAsia="Times New Roman" w:hAnsi="Arial" w:cs="Arial"/>
          <w:b/>
          <w:color w:val="212529"/>
          <w:sz w:val="24"/>
          <w:szCs w:val="24"/>
          <w:lang w:eastAsia="pt-BR"/>
        </w:rPr>
        <w:t>canal do “</w:t>
      </w:r>
      <w:r w:rsidRPr="00E6196A">
        <w:rPr>
          <w:rFonts w:ascii="Arial" w:eastAsia="Times New Roman" w:hAnsi="Arial" w:cs="Arial"/>
          <w:b/>
          <w:color w:val="212529"/>
          <w:sz w:val="24"/>
          <w:szCs w:val="24"/>
          <w:lang w:eastAsia="pt-BR"/>
        </w:rPr>
        <w:t>Converse com a FAPESP</w:t>
      </w:r>
      <w:r>
        <w:rPr>
          <w:rFonts w:ascii="Arial" w:eastAsia="Times New Roman" w:hAnsi="Arial" w:cs="Arial"/>
          <w:b/>
          <w:color w:val="212529"/>
          <w:sz w:val="24"/>
          <w:szCs w:val="24"/>
          <w:lang w:eastAsia="pt-BR"/>
        </w:rPr>
        <w:t>”</w:t>
      </w:r>
    </w:p>
    <w:p w14:paraId="619573DB" w14:textId="77777777" w:rsidR="00BA3316" w:rsidRPr="006C309A" w:rsidRDefault="00BA3316" w:rsidP="00F64C6F">
      <w:pPr>
        <w:shd w:val="clear" w:color="auto" w:fill="FFFFFF"/>
        <w:spacing w:after="375" w:line="300" w:lineRule="atLeast"/>
        <w:jc w:val="both"/>
        <w:outlineLvl w:val="1"/>
        <w:rPr>
          <w:rFonts w:ascii="Arial" w:eastAsia="Times New Roman" w:hAnsi="Arial" w:cs="Arial"/>
          <w:b/>
          <w:bCs/>
          <w:color w:val="0756AE"/>
          <w:sz w:val="24"/>
          <w:szCs w:val="24"/>
          <w:lang w:eastAsia="pt-BR"/>
        </w:rPr>
      </w:pPr>
      <w:r w:rsidRPr="006C309A">
        <w:rPr>
          <w:rFonts w:ascii="Arial" w:eastAsia="Times New Roman" w:hAnsi="Arial" w:cs="Arial"/>
          <w:b/>
          <w:bCs/>
          <w:color w:val="0756AE"/>
          <w:sz w:val="24"/>
          <w:szCs w:val="24"/>
          <w:lang w:eastAsia="pt-BR"/>
        </w:rPr>
        <w:t>Comunicado sobre sistema de</w:t>
      </w:r>
      <w:r w:rsidRPr="00F64C6F">
        <w:rPr>
          <w:rFonts w:ascii="Arial" w:eastAsia="Times New Roman" w:hAnsi="Arial" w:cs="Arial"/>
          <w:b/>
          <w:bCs/>
          <w:color w:val="0756AE"/>
          <w:sz w:val="24"/>
          <w:szCs w:val="24"/>
          <w:lang w:eastAsia="pt-BR"/>
        </w:rPr>
        <w:t xml:space="preserve"> </w:t>
      </w:r>
      <w:r w:rsidRPr="006C309A">
        <w:rPr>
          <w:rFonts w:ascii="Arial" w:eastAsia="Times New Roman" w:hAnsi="Arial" w:cs="Arial"/>
          <w:b/>
          <w:bCs/>
          <w:color w:val="0756AE"/>
          <w:sz w:val="24"/>
          <w:szCs w:val="24"/>
          <w:lang w:eastAsia="pt-BR"/>
        </w:rPr>
        <w:t>Prestação de Contas On-line</w:t>
      </w:r>
    </w:p>
    <w:p w14:paraId="3D8A770B" w14:textId="77777777" w:rsidR="00BA3316" w:rsidRPr="006C309A" w:rsidRDefault="00BA3316" w:rsidP="00F64C6F">
      <w:pPr>
        <w:shd w:val="clear" w:color="auto" w:fill="FFFFFF"/>
        <w:spacing w:before="225"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C309A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A FAPESP, em sua busca constante pela melhoria e modernização dos procedimentos adotados, implementará em breve o sistema de Prestação de Contas (PC) Eletrônico, através do Sistema de Apoio à Gestão – SAGe, que permitirá que os Outorgados elaborem e submetam as Prestações de Contas de Auxílios e Bolsas em formato digital à Fundação.</w:t>
      </w:r>
    </w:p>
    <w:p w14:paraId="0405BCB6" w14:textId="77777777" w:rsidR="00BA3316" w:rsidRPr="006C309A" w:rsidRDefault="00BA3316" w:rsidP="00F64C6F">
      <w:pPr>
        <w:shd w:val="clear" w:color="auto" w:fill="FFFFFF"/>
        <w:spacing w:before="225"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C309A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O sistema integrará o controle das liberações de recursos, eliminando a necessidade de inclusão manual dos valores liberados. Entre as demais funcionalidades do sistema, também será possível que Outorgados de Auxílios à Pesquisa, cujas notas de Material Permanente e Material de Consumo são emitidas no CNPJ2 da FAPESP, carreguem diretamente da base das Secretarias das Fazendas Estaduais ou Fazenda Nacional os dados destas notas fiscais, para que sejam associadas à Prestação de Contas. O sistema permitirá ainda o carregamento de dados de uma nota fiscal emitida no CPF do Outorgado por meio da chave de acesso ou do arquivo XML.</w:t>
      </w:r>
    </w:p>
    <w:p w14:paraId="6B25522E" w14:textId="77777777" w:rsidR="00BA3316" w:rsidRPr="006C309A" w:rsidRDefault="00BA3316" w:rsidP="00F64C6F">
      <w:pPr>
        <w:shd w:val="clear" w:color="auto" w:fill="FFFFFF"/>
        <w:spacing w:before="225"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C309A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O Sistema de Prestação de Contas Eletrônico estará disponível no Módulo de Prestação de Contas do SAGe no mês de abril de 2021. Estimamos que isso ocorra a partir do dia 19.</w:t>
      </w:r>
    </w:p>
    <w:p w14:paraId="11CE942B" w14:textId="77777777" w:rsidR="00BA3316" w:rsidRPr="006C309A" w:rsidRDefault="00BA3316" w:rsidP="00F64C6F">
      <w:pPr>
        <w:shd w:val="clear" w:color="auto" w:fill="FFFFFF"/>
        <w:spacing w:before="225"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C309A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Deverão ser submetidas em </w:t>
      </w:r>
      <w:r w:rsidRPr="00F64C6F">
        <w:rPr>
          <w:rFonts w:ascii="Arial" w:eastAsia="Times New Roman" w:hAnsi="Arial" w:cs="Arial"/>
          <w:b/>
          <w:bCs/>
          <w:color w:val="212529"/>
          <w:sz w:val="24"/>
          <w:szCs w:val="24"/>
          <w:lang w:eastAsia="pt-BR"/>
        </w:rPr>
        <w:t>formato digital</w:t>
      </w:r>
      <w:r w:rsidRPr="006C309A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 através do SAGe </w:t>
      </w:r>
      <w:r w:rsidRPr="00F64C6F">
        <w:rPr>
          <w:rFonts w:ascii="Arial" w:eastAsia="Times New Roman" w:hAnsi="Arial" w:cs="Arial"/>
          <w:b/>
          <w:bCs/>
          <w:color w:val="212529"/>
          <w:sz w:val="24"/>
          <w:szCs w:val="24"/>
          <w:lang w:eastAsia="pt-BR"/>
        </w:rPr>
        <w:t>as Prestações de Contas iniciais</w:t>
      </w:r>
      <w:r w:rsidRPr="006C309A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 de processos de Auxílios e Bolsas, bem como suas Prestações de Contas seguintes.</w:t>
      </w:r>
    </w:p>
    <w:p w14:paraId="3D16E700" w14:textId="77777777" w:rsidR="00BA3316" w:rsidRPr="006C309A" w:rsidRDefault="00BA3316" w:rsidP="00F64C6F">
      <w:pPr>
        <w:shd w:val="clear" w:color="auto" w:fill="FFFFFF"/>
        <w:spacing w:before="225"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C309A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No caso de processos para os quais </w:t>
      </w:r>
      <w:r w:rsidRPr="00F64C6F">
        <w:rPr>
          <w:rFonts w:ascii="Arial" w:eastAsia="Times New Roman" w:hAnsi="Arial" w:cs="Arial"/>
          <w:b/>
          <w:bCs/>
          <w:color w:val="212529"/>
          <w:sz w:val="24"/>
          <w:szCs w:val="24"/>
          <w:lang w:eastAsia="pt-BR"/>
        </w:rPr>
        <w:t>já tenha sido apresentada ao menos uma Prestação de Contas em papel</w:t>
      </w:r>
      <w:r w:rsidRPr="006C309A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, os Outorgados deverão continuar a enviar suas Prestações de Contas </w:t>
      </w:r>
      <w:r w:rsidRPr="00F64C6F">
        <w:rPr>
          <w:rFonts w:ascii="Arial" w:eastAsia="Times New Roman" w:hAnsi="Arial" w:cs="Arial"/>
          <w:b/>
          <w:bCs/>
          <w:color w:val="212529"/>
          <w:sz w:val="24"/>
          <w:szCs w:val="24"/>
          <w:lang w:eastAsia="pt-BR"/>
        </w:rPr>
        <w:t>em formato físico</w:t>
      </w:r>
      <w:r w:rsidRPr="006C309A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 à FAPESP, nos prazos previstos nos Termos de Outorga.</w:t>
      </w:r>
    </w:p>
    <w:p w14:paraId="32A8B960" w14:textId="77777777" w:rsidR="00BA3316" w:rsidRPr="006C309A" w:rsidRDefault="00BA3316" w:rsidP="00F64C6F">
      <w:pPr>
        <w:shd w:val="clear" w:color="auto" w:fill="FFFFFF"/>
        <w:spacing w:before="225"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C309A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Para que Outorgados e Escritórios de Apoio Institucional ao Pesquisador (EAIPs), possam se familiarizar com o sistema, e considerando a situação de exceção causada pela pandemia da COVID-19, as Prestações de Contas iniciais, de Auxílios e Bolsas, previstas para os meses de fevereiro, março, abril e maio de 2021, serão prorrogadas para o mês de junho de 2021, respeitando o dia do mês previsto no Termo de Outorga (10, 20 ou 30).</w:t>
      </w:r>
    </w:p>
    <w:p w14:paraId="0DDC7191" w14:textId="77777777" w:rsidR="00BA3316" w:rsidRPr="006C309A" w:rsidRDefault="00BA3316" w:rsidP="00F64C6F">
      <w:pPr>
        <w:shd w:val="clear" w:color="auto" w:fill="FFFFFF"/>
        <w:spacing w:before="225"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F64C6F">
        <w:rPr>
          <w:rFonts w:ascii="Arial" w:eastAsia="Times New Roman" w:hAnsi="Arial" w:cs="Arial"/>
          <w:b/>
          <w:bCs/>
          <w:color w:val="212529"/>
          <w:sz w:val="24"/>
          <w:szCs w:val="24"/>
          <w:lang w:eastAsia="pt-BR"/>
        </w:rPr>
        <w:t>Para processos vinculados à USP</w:t>
      </w:r>
      <w:r w:rsidRPr="006C309A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, os outorgados deverão, obrigatoriamente, fazer o preenchimento da PC inicial utilizando o Sistema de Gestão da Informação de Projetos – GIP, por força de decisão tomada no âmbito da Universidade. O GIP foi integrado ao SAGe em 16 dezembro de 2020, no âmbito de Termo de Cooperação para Troca de Informações firmado entre a FAPESP e a USP em 2017.</w:t>
      </w:r>
    </w:p>
    <w:p w14:paraId="5CFD8B69" w14:textId="77777777" w:rsidR="00BA3316" w:rsidRPr="006C309A" w:rsidRDefault="00BA3316" w:rsidP="00F64C6F">
      <w:pPr>
        <w:shd w:val="clear" w:color="auto" w:fill="FFFFFF"/>
        <w:spacing w:before="225"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C309A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Outras instituições que disponham de sistemas de apoio à gestão e que, após análise técnica, se mostrarem compatíveis com a plataforma SAGe, poderão ser autorizadas a enviar Prestações de Contas em formato digital por seus próprios sistemas. Nesse sentido, devem fazer contato com a Direção da FAPESP.</w:t>
      </w:r>
    </w:p>
    <w:p w14:paraId="05DA1CC8" w14:textId="77777777" w:rsidR="00BA3316" w:rsidRPr="006C309A" w:rsidRDefault="00BA3316" w:rsidP="00F64C6F">
      <w:pPr>
        <w:shd w:val="clear" w:color="auto" w:fill="FFFFFF"/>
        <w:spacing w:before="225"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C309A">
        <w:rPr>
          <w:rFonts w:ascii="Arial" w:eastAsia="Times New Roman" w:hAnsi="Arial" w:cs="Arial"/>
          <w:color w:val="212529"/>
          <w:sz w:val="24"/>
          <w:szCs w:val="24"/>
          <w:lang w:eastAsia="pt-BR"/>
        </w:rPr>
        <w:lastRenderedPageBreak/>
        <w:t>Os documentos originais, referentes às Prestações de Contas eletrônicas enviadas à FAPESP via SAGe (ou via GIP no caso da USP) devem ser mantidos sob a guarda e responsabilidade dos outorgados por um período de cinco anos após a emissão do correspondente título de quitação, podendo sua apresentação ser solicitada pela FAPESP.</w:t>
      </w:r>
    </w:p>
    <w:p w14:paraId="1B8ECBC5" w14:textId="77777777" w:rsidR="00BA3316" w:rsidRPr="006C309A" w:rsidRDefault="00BA3316" w:rsidP="00F64C6F">
      <w:pPr>
        <w:shd w:val="clear" w:color="auto" w:fill="FFFFFF"/>
        <w:spacing w:before="225"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C309A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Até a data prevista para início da submissão das Prestações de Contas eletrônicas à FAPESP, prevista para junho de 2021, a Fundação divulgará novas orientações à comunidade.</w:t>
      </w:r>
    </w:p>
    <w:p w14:paraId="502C175D" w14:textId="77777777" w:rsidR="00BA3316" w:rsidRPr="006C309A" w:rsidRDefault="00BA3316" w:rsidP="00F64C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C309A">
        <w:rPr>
          <w:rFonts w:ascii="Arial" w:eastAsia="Times New Roman" w:hAnsi="Arial" w:cs="Arial"/>
          <w:color w:val="212529"/>
          <w:sz w:val="24"/>
          <w:szCs w:val="24"/>
          <w:lang w:eastAsia="pt-BR"/>
        </w:rPr>
        <w:br/>
      </w:r>
    </w:p>
    <w:p w14:paraId="4689199C" w14:textId="77777777" w:rsidR="00BA3316" w:rsidRPr="006C309A" w:rsidRDefault="00BA3316" w:rsidP="00F64C6F">
      <w:pPr>
        <w:shd w:val="clear" w:color="auto" w:fill="FFFFFF"/>
        <w:spacing w:before="225"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F64C6F">
        <w:rPr>
          <w:rFonts w:ascii="Arial" w:eastAsia="Times New Roman" w:hAnsi="Arial" w:cs="Arial"/>
          <w:b/>
          <w:bCs/>
          <w:color w:val="212529"/>
          <w:sz w:val="24"/>
          <w:szCs w:val="24"/>
          <w:lang w:eastAsia="pt-BR"/>
        </w:rPr>
        <w:t>CRONOGRAMA PARA PRESTAÇÕES DE CONTAS INICIAIS</w:t>
      </w:r>
    </w:p>
    <w:p w14:paraId="14A852D0" w14:textId="77777777" w:rsidR="00BA3316" w:rsidRPr="006C309A" w:rsidRDefault="00BA3316" w:rsidP="00F64C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</w:p>
    <w:tbl>
      <w:tblPr>
        <w:tblW w:w="871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4"/>
        <w:gridCol w:w="7028"/>
      </w:tblGrid>
      <w:tr w:rsidR="00BA3316" w:rsidRPr="006C309A" w14:paraId="572F453D" w14:textId="77777777" w:rsidTr="00BA3316">
        <w:trPr>
          <w:trHeight w:val="1637"/>
        </w:trPr>
        <w:tc>
          <w:tcPr>
            <w:tcW w:w="1684" w:type="dxa"/>
            <w:tcBorders>
              <w:top w:val="single" w:sz="6" w:space="0" w:color="auto"/>
            </w:tcBorders>
            <w:shd w:val="clear" w:color="auto" w:fill="auto"/>
            <w:hideMark/>
          </w:tcPr>
          <w:p w14:paraId="187DA093" w14:textId="77777777" w:rsidR="00BA3316" w:rsidRPr="006C309A" w:rsidRDefault="00BA3316" w:rsidP="00F64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64C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 partir de 02/2021</w:t>
            </w:r>
          </w:p>
        </w:tc>
        <w:tc>
          <w:tcPr>
            <w:tcW w:w="7028" w:type="dxa"/>
            <w:tcBorders>
              <w:top w:val="single" w:sz="6" w:space="0" w:color="auto"/>
            </w:tcBorders>
            <w:shd w:val="clear" w:color="auto" w:fill="auto"/>
            <w:hideMark/>
          </w:tcPr>
          <w:p w14:paraId="2685E4EC" w14:textId="77777777" w:rsidR="00BA3316" w:rsidRPr="006C309A" w:rsidRDefault="00BA3316" w:rsidP="00F64C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64C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Possibilidade</w:t>
            </w:r>
            <w:r w:rsidRPr="006C309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de envio de Prestações de Contas eletrônicas via GIP para Prestações de Contas iniciais de projetos que têm a USP como instituição sede.</w:t>
            </w:r>
          </w:p>
          <w:p w14:paraId="79ABEA14" w14:textId="77777777" w:rsidR="00BA3316" w:rsidRPr="00F64C6F" w:rsidRDefault="00BA3316" w:rsidP="00F64C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F64C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Obs</w:t>
            </w:r>
            <w:proofErr w:type="spellEnd"/>
            <w:r w:rsidRPr="00F64C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:</w:t>
            </w:r>
            <w:r w:rsidRPr="006C309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 O envio de Prestações de Contas nesse período é facultativo. </w:t>
            </w:r>
          </w:p>
          <w:p w14:paraId="533FF1E2" w14:textId="77777777" w:rsidR="00BA3316" w:rsidRPr="006C309A" w:rsidRDefault="00BA3316" w:rsidP="00F64C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C309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As Prestações de Contas de projetos iniciais, que devem ser apresentadas na forma eletrônica, podem ser encaminhadas à FAPESP nos dias do mês indicado no Termo de Outorga (considerando a prorrogação, as datas dos envios serão nos dias 10, 20 e 30 de junho).</w:t>
            </w:r>
          </w:p>
        </w:tc>
      </w:tr>
      <w:tr w:rsidR="00BA3316" w:rsidRPr="006C309A" w14:paraId="7926CFBE" w14:textId="77777777" w:rsidTr="00BA3316">
        <w:trPr>
          <w:trHeight w:val="1988"/>
        </w:trPr>
        <w:tc>
          <w:tcPr>
            <w:tcW w:w="1684" w:type="dxa"/>
            <w:tcBorders>
              <w:top w:val="single" w:sz="6" w:space="0" w:color="auto"/>
            </w:tcBorders>
            <w:shd w:val="clear" w:color="auto" w:fill="auto"/>
            <w:hideMark/>
          </w:tcPr>
          <w:p w14:paraId="4B8022B4" w14:textId="77777777" w:rsidR="00BA3316" w:rsidRPr="006C309A" w:rsidRDefault="00BA3316" w:rsidP="00F64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64C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19/04/2021</w:t>
            </w:r>
          </w:p>
        </w:tc>
        <w:tc>
          <w:tcPr>
            <w:tcW w:w="7028" w:type="dxa"/>
            <w:tcBorders>
              <w:top w:val="single" w:sz="6" w:space="0" w:color="auto"/>
            </w:tcBorders>
            <w:shd w:val="clear" w:color="auto" w:fill="auto"/>
            <w:hideMark/>
          </w:tcPr>
          <w:p w14:paraId="0DC042AA" w14:textId="77777777" w:rsidR="00BA3316" w:rsidRPr="006C309A" w:rsidRDefault="00BA3316" w:rsidP="00F64C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64C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Abertura </w:t>
            </w:r>
            <w:r w:rsidRPr="006C309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da possibilidade de recebimento de Prestações de Contas eletrônicas via SAGe para Prestações de Contas iniciais de todos os processos.</w:t>
            </w:r>
          </w:p>
          <w:p w14:paraId="23CA1D1F" w14:textId="77777777" w:rsidR="00BA3316" w:rsidRPr="006C309A" w:rsidRDefault="00BA3316" w:rsidP="00F64C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F64C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Obs</w:t>
            </w:r>
            <w:proofErr w:type="spellEnd"/>
            <w:r w:rsidRPr="00F64C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:</w:t>
            </w:r>
            <w:r w:rsidRPr="006C309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Para processos da USP, segue sendo necessário o uso do GIP para a interface com o SAGe.</w:t>
            </w:r>
          </w:p>
          <w:p w14:paraId="1BCBEBEE" w14:textId="77777777" w:rsidR="00BA3316" w:rsidRPr="006C309A" w:rsidRDefault="00BA3316" w:rsidP="00F64C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F64C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Obs</w:t>
            </w:r>
            <w:proofErr w:type="spellEnd"/>
            <w:r w:rsidRPr="00F64C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: </w:t>
            </w:r>
            <w:r w:rsidRPr="006C309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As Prestações de Contas iniciais, que devem ser apresentadas na forma eletrônica, podem ser encaminhadas à FAPESP conforme dia do mês indicado no Termo de Outorga (considerando a prorrogação, as datas dos envios serão nos dias 10, 20 e 30 de junho).</w:t>
            </w:r>
          </w:p>
        </w:tc>
      </w:tr>
      <w:tr w:rsidR="00BA3316" w:rsidRPr="006C309A" w14:paraId="2D2FEF0E" w14:textId="77777777" w:rsidTr="00BA3316">
        <w:trPr>
          <w:trHeight w:val="630"/>
        </w:trPr>
        <w:tc>
          <w:tcPr>
            <w:tcW w:w="1684" w:type="dxa"/>
            <w:tcBorders>
              <w:top w:val="single" w:sz="6" w:space="0" w:color="auto"/>
            </w:tcBorders>
            <w:shd w:val="clear" w:color="auto" w:fill="auto"/>
            <w:hideMark/>
          </w:tcPr>
          <w:p w14:paraId="60FC9466" w14:textId="77777777" w:rsidR="00BA3316" w:rsidRPr="006C309A" w:rsidRDefault="00BA3316" w:rsidP="00F64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64C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10, 20 ou 30/06/2021</w:t>
            </w:r>
          </w:p>
        </w:tc>
        <w:tc>
          <w:tcPr>
            <w:tcW w:w="7028" w:type="dxa"/>
            <w:tcBorders>
              <w:top w:val="single" w:sz="6" w:space="0" w:color="auto"/>
            </w:tcBorders>
            <w:shd w:val="clear" w:color="auto" w:fill="auto"/>
            <w:hideMark/>
          </w:tcPr>
          <w:p w14:paraId="54D5E7F1" w14:textId="77777777" w:rsidR="00BA3316" w:rsidRPr="006C309A" w:rsidRDefault="00BA3316" w:rsidP="00F64C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64C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Obrigatoriedade</w:t>
            </w:r>
            <w:r w:rsidRPr="006C309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da Prestação de Contas eletrônica para Prestações de Contas iniciais que venceram nos meses de fevereiro, março, abril e maio de 2021, e para as que vierem a vencer a partir dessa data, conforme Termo de Outorga.</w:t>
            </w:r>
          </w:p>
        </w:tc>
      </w:tr>
    </w:tbl>
    <w:p w14:paraId="22F2B225" w14:textId="77777777" w:rsidR="00BA3316" w:rsidRPr="006C309A" w:rsidRDefault="00BA3316" w:rsidP="00F64C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</w:p>
    <w:tbl>
      <w:tblPr>
        <w:tblW w:w="8804" w:type="dxa"/>
        <w:tblBorders>
          <w:top w:val="single" w:sz="6" w:space="0" w:color="000000"/>
          <w:bottom w:val="single" w:sz="6" w:space="0" w:color="000000"/>
        </w:tblBorders>
        <w:shd w:val="clear" w:color="auto" w:fill="F0F8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04"/>
      </w:tblGrid>
      <w:tr w:rsidR="00BA3316" w:rsidRPr="006C309A" w14:paraId="07308BB4" w14:textId="77777777" w:rsidTr="00BA3316">
        <w:trPr>
          <w:trHeight w:val="818"/>
        </w:trPr>
        <w:tc>
          <w:tcPr>
            <w:tcW w:w="0" w:type="auto"/>
            <w:tcBorders>
              <w:top w:val="single" w:sz="6" w:space="0" w:color="auto"/>
            </w:tcBorders>
            <w:shd w:val="clear" w:color="auto" w:fill="F0F8FF"/>
            <w:hideMark/>
          </w:tcPr>
          <w:p w14:paraId="53A908E9" w14:textId="77777777" w:rsidR="00BA3316" w:rsidRPr="00F64C6F" w:rsidRDefault="00BA3316" w:rsidP="00F64C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64C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Reforçamos: </w:t>
            </w:r>
            <w:r w:rsidRPr="006C309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processos que já tenham tido Prestações de Contas iniciadas em </w:t>
            </w:r>
          </w:p>
          <w:p w14:paraId="16C7B9D3" w14:textId="77777777" w:rsidR="00BA3316" w:rsidRPr="006C309A" w:rsidRDefault="00BA3316" w:rsidP="00F64C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C309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papel deverão realizar as Prestações de Contas parciais ou finais também em papel, nos prazos previstos nos Termos de Outorga.</w:t>
            </w:r>
          </w:p>
        </w:tc>
      </w:tr>
    </w:tbl>
    <w:p w14:paraId="6C6C26C5" w14:textId="77777777" w:rsidR="00BA3316" w:rsidRPr="00F64C6F" w:rsidRDefault="00BA3316" w:rsidP="00F64C6F">
      <w:pPr>
        <w:jc w:val="both"/>
        <w:rPr>
          <w:rFonts w:ascii="Arial" w:hAnsi="Arial" w:cs="Arial"/>
          <w:sz w:val="24"/>
          <w:szCs w:val="24"/>
        </w:rPr>
      </w:pPr>
    </w:p>
    <w:p w14:paraId="0C183E1E" w14:textId="77777777" w:rsidR="008554E3" w:rsidRPr="008554E3" w:rsidRDefault="00680563" w:rsidP="008554E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12529"/>
        </w:rPr>
      </w:pPr>
      <w:r w:rsidRPr="008554E3">
        <w:rPr>
          <w:rFonts w:ascii="Arial" w:hAnsi="Arial" w:cs="Arial"/>
        </w:rPr>
        <w:softHyphen/>
      </w:r>
      <w:r w:rsidRPr="008554E3">
        <w:rPr>
          <w:rFonts w:ascii="Arial" w:hAnsi="Arial" w:cs="Arial"/>
        </w:rPr>
        <w:softHyphen/>
      </w:r>
      <w:r w:rsidR="008554E3" w:rsidRPr="008554E3">
        <w:rPr>
          <w:rFonts w:ascii="Arial" w:hAnsi="Arial" w:cs="Arial"/>
          <w:b/>
          <w:bCs/>
          <w:color w:val="212529"/>
        </w:rPr>
        <w:t xml:space="preserve"> URL:</w:t>
      </w:r>
      <w:r w:rsidR="008554E3" w:rsidRPr="008554E3">
        <w:rPr>
          <w:rFonts w:ascii="Arial" w:hAnsi="Arial" w:cs="Arial"/>
          <w:color w:val="212529"/>
        </w:rPr>
        <w:t> </w:t>
      </w:r>
      <w:r w:rsidR="008554E3" w:rsidRPr="008554E3">
        <w:rPr>
          <w:rFonts w:ascii="Arial" w:hAnsi="Arial" w:cs="Arial"/>
          <w:b/>
          <w:color w:val="0070C0"/>
        </w:rPr>
        <w:t>https://fapesp.br/14765/comunicado-sobre-sistema-de-prestacao-de-contas-on-line</w:t>
      </w:r>
    </w:p>
    <w:p w14:paraId="1913C3C4" w14:textId="77777777" w:rsidR="008554E3" w:rsidRPr="008554E3" w:rsidRDefault="008554E3" w:rsidP="008554E3">
      <w:pPr>
        <w:shd w:val="clear" w:color="auto" w:fill="FFFFFF"/>
        <w:jc w:val="both"/>
        <w:rPr>
          <w:rFonts w:ascii="Arial" w:hAnsi="Arial" w:cs="Arial"/>
          <w:color w:val="212529"/>
          <w:sz w:val="24"/>
          <w:szCs w:val="24"/>
        </w:rPr>
      </w:pPr>
      <w:r w:rsidRPr="008554E3">
        <w:rPr>
          <w:rFonts w:ascii="Arial" w:hAnsi="Arial" w:cs="Arial"/>
          <w:i/>
          <w:iCs/>
          <w:color w:val="212529"/>
          <w:sz w:val="24"/>
          <w:szCs w:val="24"/>
        </w:rPr>
        <w:t>Página atualizada em 25/02/2021 - Publicada em 25/02/2021</w:t>
      </w:r>
    </w:p>
    <w:p w14:paraId="2649F8E4" w14:textId="77777777" w:rsidR="00C53215" w:rsidRPr="00E6196A" w:rsidRDefault="00C53215" w:rsidP="00C53215">
      <w:pPr>
        <w:shd w:val="clear" w:color="auto" w:fill="FFFFFF"/>
        <w:spacing w:after="375" w:line="300" w:lineRule="atLeast"/>
        <w:jc w:val="both"/>
        <w:outlineLvl w:val="1"/>
        <w:rPr>
          <w:rFonts w:ascii="Arial" w:eastAsia="Times New Roman" w:hAnsi="Arial" w:cs="Arial"/>
          <w:b/>
          <w:color w:val="212529"/>
          <w:sz w:val="24"/>
          <w:szCs w:val="24"/>
          <w:lang w:eastAsia="pt-BR"/>
        </w:rPr>
      </w:pPr>
      <w:r w:rsidRPr="00C53215"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>Obs. Esta mensagem é automática - Dúvidas pelo canal do “Converse com a FAPESP”</w:t>
      </w:r>
    </w:p>
    <w:p w14:paraId="7EDE0FA0" w14:textId="77777777" w:rsidR="00431248" w:rsidRPr="00F64C6F" w:rsidRDefault="00431248" w:rsidP="00F64C6F">
      <w:pPr>
        <w:tabs>
          <w:tab w:val="left" w:pos="4700"/>
        </w:tabs>
        <w:jc w:val="both"/>
        <w:rPr>
          <w:rFonts w:ascii="Arial" w:hAnsi="Arial" w:cs="Arial"/>
          <w:sz w:val="24"/>
          <w:szCs w:val="24"/>
        </w:rPr>
      </w:pPr>
    </w:p>
    <w:sectPr w:rsidR="00431248" w:rsidRPr="00F64C6F" w:rsidSect="00FB0B73">
      <w:headerReference w:type="default" r:id="rId6"/>
      <w:footerReference w:type="default" r:id="rId7"/>
      <w:pgSz w:w="11900" w:h="16840"/>
      <w:pgMar w:top="1440" w:right="701" w:bottom="1440" w:left="1276" w:header="426" w:footer="38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A5671F" w14:textId="77777777" w:rsidR="00442D10" w:rsidRDefault="00442D10">
      <w:r>
        <w:separator/>
      </w:r>
    </w:p>
  </w:endnote>
  <w:endnote w:type="continuationSeparator" w:id="0">
    <w:p w14:paraId="1B67318C" w14:textId="77777777" w:rsidR="00442D10" w:rsidRDefault="00442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1EC8B" w14:textId="77777777" w:rsidR="00FC6383" w:rsidRDefault="00680563" w:rsidP="00FB0B73">
    <w:pPr>
      <w:pStyle w:val="Rodap"/>
      <w:ind w:left="-426"/>
    </w:pPr>
    <w:r>
      <w:rPr>
        <w:noProof/>
        <w:lang w:val="pt-BR" w:eastAsia="pt-BR"/>
      </w:rPr>
      <w:drawing>
        <wp:inline distT="0" distB="0" distL="0" distR="0" wp14:anchorId="1D26D39F" wp14:editId="75913008">
          <wp:extent cx="6292850" cy="369651"/>
          <wp:effectExtent l="0" t="0" r="0" b="0"/>
          <wp:docPr id="8" name="Picture 4" descr=":::::Desktop:Para papel timbrado 2012:rodape_timb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:::::Desktop:Para papel timbrado 2012:rodape_timbre.jp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b="23404"/>
                  <a:stretch/>
                </pic:blipFill>
                <pic:spPr bwMode="auto">
                  <a:xfrm>
                    <a:off x="0" y="0"/>
                    <a:ext cx="6292850" cy="3696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B30771" w14:textId="77777777" w:rsidR="00442D10" w:rsidRDefault="00442D10">
      <w:r>
        <w:separator/>
      </w:r>
    </w:p>
  </w:footnote>
  <w:footnote w:type="continuationSeparator" w:id="0">
    <w:p w14:paraId="4906043C" w14:textId="77777777" w:rsidR="00442D10" w:rsidRDefault="00442D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CDDE3" w14:textId="77777777" w:rsidR="00FC6383" w:rsidRDefault="00FC6383" w:rsidP="00FB0B73">
    <w:pPr>
      <w:pStyle w:val="Cabealho"/>
      <w:tabs>
        <w:tab w:val="clear" w:pos="4320"/>
        <w:tab w:val="clear" w:pos="8640"/>
      </w:tabs>
      <w:ind w:left="-567" w:right="43"/>
    </w:pPr>
    <w:r>
      <w:rPr>
        <w:noProof/>
        <w:lang w:val="pt-BR" w:eastAsia="pt-BR"/>
      </w:rPr>
      <w:drawing>
        <wp:inline distT="0" distB="0" distL="0" distR="0" wp14:anchorId="4D3B668D" wp14:editId="7ADA20BC">
          <wp:extent cx="1709853" cy="584200"/>
          <wp:effectExtent l="25400" t="0" r="0" b="0"/>
          <wp:docPr id="1" name="Picture 0" descr="MARCAFAPESP_timbr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FAPESP_timbre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5938" cy="582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19189E" w14:textId="77777777" w:rsidR="00FC6383" w:rsidRDefault="00FC6383" w:rsidP="00A62A2B">
    <w:pPr>
      <w:pStyle w:val="Cabealho"/>
      <w:tabs>
        <w:tab w:val="clear" w:pos="4320"/>
        <w:tab w:val="clear" w:pos="8640"/>
      </w:tabs>
      <w:ind w:right="4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316"/>
    <w:rsid w:val="001243EA"/>
    <w:rsid w:val="0013682D"/>
    <w:rsid w:val="0015060B"/>
    <w:rsid w:val="00236EBE"/>
    <w:rsid w:val="00251A54"/>
    <w:rsid w:val="002E2887"/>
    <w:rsid w:val="0033113D"/>
    <w:rsid w:val="00341C61"/>
    <w:rsid w:val="00374211"/>
    <w:rsid w:val="00431248"/>
    <w:rsid w:val="00442D10"/>
    <w:rsid w:val="0046420E"/>
    <w:rsid w:val="004E0955"/>
    <w:rsid w:val="005438E2"/>
    <w:rsid w:val="005958D3"/>
    <w:rsid w:val="005E20E7"/>
    <w:rsid w:val="00680563"/>
    <w:rsid w:val="00805A0F"/>
    <w:rsid w:val="00841D91"/>
    <w:rsid w:val="008554E3"/>
    <w:rsid w:val="008C3C15"/>
    <w:rsid w:val="00A62A2B"/>
    <w:rsid w:val="00AE6922"/>
    <w:rsid w:val="00BA3316"/>
    <w:rsid w:val="00C53215"/>
    <w:rsid w:val="00E6196A"/>
    <w:rsid w:val="00F64C6F"/>
    <w:rsid w:val="00F80F4E"/>
    <w:rsid w:val="00FB0B73"/>
    <w:rsid w:val="00FC638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11D14B"/>
  <w15:docId w15:val="{7714FC59-7A93-4B21-BDA0-6FDB073A3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316"/>
    <w:pPr>
      <w:spacing w:after="160" w:line="259" w:lineRule="auto"/>
    </w:pPr>
    <w:rPr>
      <w:sz w:val="22"/>
      <w:szCs w:val="22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62A2B"/>
    <w:pPr>
      <w:tabs>
        <w:tab w:val="center" w:pos="4320"/>
        <w:tab w:val="right" w:pos="8640"/>
      </w:tabs>
      <w:spacing w:after="0" w:line="240" w:lineRule="auto"/>
    </w:pPr>
    <w:rPr>
      <w:sz w:val="24"/>
      <w:szCs w:val="24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A62A2B"/>
  </w:style>
  <w:style w:type="paragraph" w:styleId="Rodap">
    <w:name w:val="footer"/>
    <w:basedOn w:val="Normal"/>
    <w:link w:val="RodapChar"/>
    <w:uiPriority w:val="99"/>
    <w:unhideWhenUsed/>
    <w:rsid w:val="00A62A2B"/>
    <w:pPr>
      <w:tabs>
        <w:tab w:val="center" w:pos="4320"/>
        <w:tab w:val="right" w:pos="8640"/>
      </w:tabs>
      <w:spacing w:after="0" w:line="240" w:lineRule="auto"/>
    </w:pPr>
    <w:rPr>
      <w:sz w:val="24"/>
      <w:szCs w:val="24"/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A62A2B"/>
  </w:style>
  <w:style w:type="character" w:styleId="Hyperlink">
    <w:name w:val="Hyperlink"/>
    <w:basedOn w:val="Fontepargpadro"/>
    <w:uiPriority w:val="99"/>
    <w:semiHidden/>
    <w:unhideWhenUsed/>
    <w:rsid w:val="00855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807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odelos\Papel%20timbrado_A4_logo%20pret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timbrado_A4_logo preto</Template>
  <TotalTime>0</TotalTime>
  <Pages>2</Pages>
  <Words>805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FAPESP</Company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Sérgio Batista</dc:creator>
  <cp:keywords/>
  <cp:lastModifiedBy>Denise Helena Araújo</cp:lastModifiedBy>
  <cp:revision>2</cp:revision>
  <cp:lastPrinted>2011-11-18T17:20:00Z</cp:lastPrinted>
  <dcterms:created xsi:type="dcterms:W3CDTF">2021-02-25T14:52:00Z</dcterms:created>
  <dcterms:modified xsi:type="dcterms:W3CDTF">2021-02-25T14:52:00Z</dcterms:modified>
</cp:coreProperties>
</file>